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C82A5">
      <w:r>
        <mc:AlternateContent>
          <mc:Choice Requires="wps">
            <w:drawing>
              <wp:anchor distT="0" distB="0" distL="0" distR="0" simplePos="0" relativeHeight="251659264" behindDoc="1" locked="1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998" name="CoverColorB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7A2E1D"/>
                            </a:gs>
                            <a:gs pos="100000">
                              <a:srgbClr val="A6662E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CoverColorBg" o:spid="_x0000_s1026" o:spt="1" style="position:absolute;left:0pt;margin-left:0pt;margin-top:0pt;height:841.9pt;width:595.3pt;mso-position-horizontal-relative:page;mso-position-vertical-relative:page;z-index:-251657216;mso-width-relative:page;mso-height-relative:page;" fillcolor="#7A2E1D" filled="t" stroked="f" coordsize="21600,21600" o:gfxdata="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YKayj9YAAAAHAQAADwAAAAAAAAAB&#10;ACAAAAAiAAAAZHJzL2Rvd25yZXYueG1sUEsBAhQAFAAAAAgAh07iQAGL6qTZAQAA1QMAAA4AAAAA&#10;AAAAAQAgAAAAJQEAAGRycy9lMm9Eb2MueG1sUEsFBgAAAAAGAAYAWQEAAHAFAAAAAA==&#10;">
                <v:fill type="gradient" on="t" color2="#A6662E" focus="100%" focussize="0,0" rotate="t"/>
                <v:stroke on="f"/>
                <v:imagedata o:title=""/>
                <o:lock v:ext="edit" aspectratio="f"/>
                <w10:anchorlock/>
              </v:rect>
            </w:pict>
          </mc:Fallback>
        </mc:AlternateContent>
      </w:r>
    </w:p>
    <w:p w14:paraId="23355580">
      <w:pPr>
        <w:spacing w:before="3200" w:line="20" w:lineRule="exact"/>
      </w:pPr>
    </w:p>
    <w:p w14:paraId="4389F12C">
      <w:pPr>
        <w:spacing w:after="160" w:line="380" w:lineRule="auto"/>
        <w:jc w:val="center"/>
      </w:pPr>
      <w:r>
        <w:rPr>
          <w:rFonts w:ascii="宋体" w:hAnsi="宋体" w:eastAsia="宋体" w:cs="宋体"/>
          <w:b/>
          <w:bCs/>
          <w:color w:val="FFFFFF"/>
          <w:sz w:val="60"/>
          <w:szCs w:val="60"/>
        </w:rPr>
        <w:t>仲曰仙艾</w:t>
      </w:r>
    </w:p>
    <w:p w14:paraId="75FF1666">
      <w:pPr>
        <w:spacing w:before="200" w:line="20" w:lineRule="exact"/>
      </w:pPr>
    </w:p>
    <w:p w14:paraId="02321DE2">
      <w:pPr>
        <w:spacing w:after="160" w:line="380" w:lineRule="auto"/>
        <w:jc w:val="center"/>
      </w:pPr>
      <w:r>
        <w:rPr>
          <w:rFonts w:ascii="宋体" w:hAnsi="宋体" w:eastAsia="宋体" w:cs="宋体"/>
          <w:b/>
          <w:bCs/>
          <w:color w:val="FFFFFF"/>
          <w:sz w:val="46"/>
          <w:szCs w:val="46"/>
        </w:rPr>
        <w:t>员 工 薪 资 制 度</w:t>
      </w:r>
    </w:p>
    <w:p w14:paraId="0611FDBA">
      <w:pPr>
        <w:spacing w:before="1200" w:line="20" w:lineRule="exact"/>
      </w:pPr>
    </w:p>
    <w:p w14:paraId="747BB125">
      <w:pPr>
        <w:spacing w:after="160" w:line="380" w:lineRule="auto"/>
        <w:jc w:val="center"/>
      </w:pPr>
      <w:r>
        <w:rPr>
          <w:rFonts w:ascii="宋体" w:hAnsi="宋体" w:eastAsia="宋体" w:cs="宋体"/>
          <w:color w:val="EAD9C9"/>
          <w:sz w:val="22"/>
          <w:szCs w:val="22"/>
        </w:rPr>
        <w:t>—— 门店薪酬管理办法 ——</w:t>
      </w:r>
    </w:p>
    <w:p w14:paraId="700DCA7A">
      <w:pPr>
        <w:spacing w:before="2000" w:line="20" w:lineRule="exact"/>
      </w:pPr>
    </w:p>
    <w:p w14:paraId="04C7638D">
      <w:pPr>
        <w:spacing w:after="160" w:line="380" w:lineRule="auto"/>
        <w:jc w:val="center"/>
      </w:pPr>
      <w:r>
        <w:rPr>
          <w:rFonts w:ascii="宋体" w:hAnsi="宋体" w:eastAsia="宋体" w:cs="宋体"/>
          <w:color w:val="EAD9C9"/>
          <w:sz w:val="20"/>
          <w:szCs w:val="20"/>
        </w:rPr>
        <w:t>适用岗位：学徒 / 初级灸疗师 / 高级灸疗师</w:t>
      </w:r>
    </w:p>
    <w:p w14:paraId="6FC2F5A1">
      <w:pPr>
        <w:sectPr>
          <w:pgSz w:w="11906" w:h="16838"/>
          <w:pgMar w:top="1440" w:right="1800" w:bottom="1440" w:left="1800" w:header="708" w:footer="708" w:gutter="0"/>
          <w:cols w:space="720" w:num="1"/>
          <w:docGrid w:linePitch="360" w:charSpace="0"/>
        </w:sectPr>
      </w:pPr>
    </w:p>
    <w:p w14:paraId="22A1C3AD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第一章  总则</w:t>
      </w:r>
    </w:p>
    <w:p w14:paraId="5A1F78A9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第一条  为规范公司薪酬管理，充分调动员工工作积极性，保障员工合法权益，结合公司经营实际，制定本制度。</w:t>
      </w:r>
    </w:p>
    <w:p w14:paraId="07D0B277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第二条  本制度适用于公司全体门店员工，包括学徒、初级灸疗师、高级灸疗师等岗位。</w:t>
      </w:r>
    </w:p>
    <w:p w14:paraId="1090A04A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第三条  员工薪资由底薪（学习补贴）、饭补、业绩提成、手工费等部分构成，具体标准按本制度执行。</w:t>
      </w:r>
    </w:p>
    <w:p w14:paraId="1C005A40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第四条  本制度所涉及的各项金额，均指税前金额。员工薪资涉及的个人所得税及社会保险费用，按国家法律法规及公司有关规定执行。</w:t>
      </w:r>
    </w:p>
    <w:p w14:paraId="25265A1F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第二章  入职与试用期</w:t>
      </w:r>
    </w:p>
    <w:p w14:paraId="1FD8A799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第五条  新手学习期</w:t>
      </w:r>
    </w:p>
    <w:p w14:paraId="487FB3A3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新入职员工（无相关经验者）设学习期，为期 7 天；</w:t>
      </w:r>
    </w:p>
    <w:p w14:paraId="534AB3A0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学习期内试岗，如自行离开（自离）或经考核未通过被劝退（退离），均不发放补贴，学习期间可包吃；</w:t>
      </w:r>
    </w:p>
    <w:p w14:paraId="71633FF7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3. 学习期须掌握基本服务技能与接待流程，经考核过关后，进入学徒试用期。</w:t>
      </w:r>
    </w:p>
    <w:p w14:paraId="2C9EE963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第六条  学徒试用期</w:t>
      </w:r>
    </w:p>
    <w:p w14:paraId="657AA5CF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学徒试用期为期一个月；</w:t>
      </w:r>
    </w:p>
    <w:p w14:paraId="0488D185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试用期结束，经考核过关后，双方签订正式劳动合同，转为正式员工。</w:t>
      </w:r>
    </w:p>
    <w:p w14:paraId="6722B524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第七条  熟手试岗期</w:t>
      </w:r>
    </w:p>
    <w:p w14:paraId="22BC2279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有相关经验的熟手，试岗期为 1—7 天；</w:t>
      </w:r>
    </w:p>
    <w:p w14:paraId="577590FA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试岗期自离无补贴；经考核未通过被退离的，按 70 元/天发放补贴；</w:t>
      </w:r>
    </w:p>
    <w:p w14:paraId="2C36E4F0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3. 熟手试岗期内随时达到接待要求的，随时可转为试用期；</w:t>
      </w:r>
    </w:p>
    <w:p w14:paraId="170C3D31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4. 熟手试岗期通过考核的，从试岗第一天起计算试用期。</w:t>
      </w:r>
    </w:p>
    <w:p w14:paraId="289B2184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第三章  薪资构成与发薪</w:t>
      </w:r>
    </w:p>
    <w:p w14:paraId="5C823183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第八条  薪资构成</w:t>
      </w:r>
    </w:p>
    <w:p w14:paraId="3D07C6C3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员工薪资由底薪（含基础底薪与社保补助）、饭补、业绩提成、手工费及奖励等构成。各岗位具体标准详见第四章。</w:t>
      </w:r>
    </w:p>
    <w:p w14:paraId="397B2C3D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其中基础底薪对应"基础工作"，包括考勤、店务、顾客接待预约等基础工作内容；社保补助为按岗位标准发放的社会保险补助，员工应自行按规定参加社会保险。</w:t>
      </w:r>
    </w:p>
    <w:p w14:paraId="0D1E6727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第九条  发薪日</w:t>
      </w:r>
    </w:p>
    <w:p w14:paraId="0FEDEB89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每月 15 日发放上一个自然月工资。</w:t>
      </w:r>
    </w:p>
    <w:p w14:paraId="4F1FB2F1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第十条  饭补</w:t>
      </w:r>
    </w:p>
    <w:p w14:paraId="27B4AD99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各岗位按标准发放饭补；如公司提供就餐（包餐），则不再发放饭补。</w:t>
      </w:r>
    </w:p>
    <w:p w14:paraId="698B379A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第四章  岗位薪资标准</w:t>
      </w:r>
    </w:p>
    <w:p w14:paraId="3F17AC0A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第十一条  各岗位薪资标准总览</w:t>
      </w:r>
    </w:p>
    <w:tbl>
      <w:tblPr>
        <w:tblStyle w:val="11"/>
        <w:tblW w:w="8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74"/>
        <w:gridCol w:w="2177"/>
        <w:gridCol w:w="2177"/>
        <w:gridCol w:w="2178"/>
      </w:tblGrid>
      <w:tr w14:paraId="396A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660A98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项目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4F2AAA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学徒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CE7503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初级灸疗师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4BFE84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高级灸疗师</w:t>
            </w:r>
          </w:p>
        </w:tc>
      </w:tr>
      <w:tr w14:paraId="7900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8D19D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底薪/学习补贴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C270F3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学习补贴 1000 元/月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9E375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底薪 2500 元/月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86F245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底薪 3000 元/月</w:t>
            </w:r>
          </w:p>
        </w:tc>
      </w:tr>
      <w:tr w14:paraId="518C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C8D4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基础底薪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BB30BB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980CEF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2000 元/月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BD2C8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2500 元/月</w:t>
            </w:r>
          </w:p>
        </w:tc>
      </w:tr>
      <w:tr w14:paraId="2960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E5FCE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其中社保补助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E974F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115862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1500 元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A8E8D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1500 元</w:t>
            </w:r>
          </w:p>
        </w:tc>
      </w:tr>
      <w:tr w14:paraId="3922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7C4AB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其中基础工作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7CB3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3F2F33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500 元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745615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1000 元</w:t>
            </w:r>
          </w:p>
        </w:tc>
      </w:tr>
      <w:tr w14:paraId="075D8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8480CB">
            <w:pPr>
              <w:spacing w:after="0" w:line="320" w:lineRule="auto"/>
            </w:pPr>
            <w:bookmarkStart w:id="0" w:name="_GoBack"/>
            <w:bookmarkEnd w:id="0"/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饭补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A79508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500 元/月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8DEF5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500 元/月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47F42C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500 元/月</w:t>
            </w:r>
          </w:p>
        </w:tc>
      </w:tr>
      <w:tr w14:paraId="2273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E5DD4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业绩提成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15FB7E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开卡提成 5%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444AD3">
            <w:pPr>
              <w:spacing w:after="0" w:line="320" w:lineRule="auto"/>
            </w:pPr>
            <w:r>
              <w:rPr>
                <w:rFonts w:hint="eastAsia" w:cs="宋体"/>
                <w:color w:val="333333"/>
                <w:sz w:val="24"/>
                <w:szCs w:val="24"/>
                <w:lang w:val="en-US" w:eastAsia="zh-CN"/>
              </w:rPr>
              <w:t>开卡</w:t>
            </w: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业绩提成 5%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DFEE3E">
            <w:pPr>
              <w:spacing w:after="0" w:line="320" w:lineRule="auto"/>
            </w:pPr>
            <w:r>
              <w:rPr>
                <w:rFonts w:hint="eastAsia" w:cs="宋体"/>
                <w:color w:val="333333"/>
                <w:sz w:val="24"/>
                <w:szCs w:val="24"/>
                <w:lang w:val="en-US" w:eastAsia="zh-CN"/>
              </w:rPr>
              <w:t>开卡</w:t>
            </w: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业绩提成 5%</w:t>
            </w:r>
          </w:p>
        </w:tc>
      </w:tr>
      <w:tr w14:paraId="7846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05B2EE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手工费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D4545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按标准计发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91EB6D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按标准计发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CDD3E7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按标准计发</w:t>
            </w:r>
          </w:p>
        </w:tc>
      </w:tr>
      <w:tr w14:paraId="03CE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7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EFC1A0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首月保底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68B490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3000 元（不含加班）</w:t>
            </w:r>
          </w:p>
        </w:tc>
        <w:tc>
          <w:tcPr>
            <w:tcW w:w="217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E3F13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  <w:tc>
          <w:tcPr>
            <w:tcW w:w="2178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541F4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</w:tbl>
    <w:p w14:paraId="1B6726C2">
      <w:pPr>
        <w:spacing w:before="200" w:line="20" w:lineRule="exact"/>
      </w:pPr>
    </w:p>
    <w:p w14:paraId="26BC7042">
      <w:pPr>
        <w:spacing w:after="160" w:line="380" w:lineRule="auto"/>
        <w:ind w:firstLine="480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color w:val="333333"/>
          <w:sz w:val="24"/>
          <w:szCs w:val="24"/>
        </w:rPr>
        <w:t>注：初级灸疗师底薪 2500 元 = 基础底薪 2000 元 + 饭补 500 元，其中基础底薪由"基础工作 500 元 + 社保补助 1500 元"构成。高级灸疗师底薪 3000 元 = 基础底薪 2500 元 + 饭补 500 元，其中基础底薪由"基础工作 1000 元 + 社保补助 1500 元"构成。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如有工作餐包餐，则无饭补。</w:t>
      </w:r>
    </w:p>
    <w:p w14:paraId="4F5BC9FB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第十二条  手工费标准</w:t>
      </w:r>
    </w:p>
    <w:tbl>
      <w:tblPr>
        <w:tblStyle w:val="11"/>
        <w:tblW w:w="8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09"/>
        <w:gridCol w:w="2280"/>
        <w:gridCol w:w="2117"/>
      </w:tblGrid>
      <w:tr w14:paraId="3FF3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3752D3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项目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E8880C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标准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7A2E1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175B6C">
            <w:pPr>
              <w:spacing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>备注</w:t>
            </w:r>
          </w:p>
        </w:tc>
      </w:tr>
      <w:tr w14:paraId="78E5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50139E">
            <w:pPr>
              <w:spacing w:after="0" w:line="320" w:lineRule="auto"/>
            </w:pPr>
            <w:r>
              <w:rPr>
                <w:rFonts w:hint="eastAsia" w:cs="宋体"/>
                <w:color w:val="333333"/>
                <w:sz w:val="24"/>
                <w:szCs w:val="24"/>
                <w:lang w:val="en-US" w:eastAsia="zh-CN"/>
              </w:rPr>
              <w:t>火龙罐</w:t>
            </w: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疏通（30 分钟以内）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5C00E4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10 元/个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E8129C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  <w:tr w14:paraId="3D67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50877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调理型艾灸（45 分钟以上）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1ACAB7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20 元/个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D2A007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  <w:tr w14:paraId="3D6F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DB26D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刮痧</w:t>
            </w:r>
            <w:r>
              <w:rPr>
                <w:rFonts w:hint="eastAsia" w:cs="宋体"/>
                <w:color w:val="333333"/>
                <w:sz w:val="24"/>
                <w:szCs w:val="24"/>
                <w:lang w:val="en-US" w:eastAsia="zh-CN"/>
              </w:rPr>
              <w:t>/雷火灸</w:t>
            </w: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（30 分钟以内）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45663F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10 元/个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AF27F1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  <w:tr w14:paraId="306C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8650D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艾灸床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7DA5C1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 元/个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0661E7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  <w:tr w14:paraId="0D86D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4C4F44">
            <w:pPr>
              <w:spacing w:after="0" w:line="32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  <w:color w:val="333333"/>
                <w:sz w:val="24"/>
                <w:szCs w:val="24"/>
                <w:lang w:val="en-US" w:eastAsia="zh-CN"/>
              </w:rPr>
              <w:t>御养膏外敷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6E0608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5 元/个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998B9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  <w:tr w14:paraId="25D9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09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97AF36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其他项目</w:t>
            </w:r>
          </w:p>
        </w:tc>
        <w:tc>
          <w:tcPr>
            <w:tcW w:w="2280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D9FCA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无手工费</w:t>
            </w:r>
          </w:p>
        </w:tc>
        <w:tc>
          <w:tcPr>
            <w:tcW w:w="2117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7F0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BFFC2E">
            <w:pPr>
              <w:spacing w:after="0" w:line="320" w:lineRule="auto"/>
            </w:pPr>
            <w:r>
              <w:rPr>
                <w:rFonts w:ascii="宋体" w:hAnsi="宋体" w:eastAsia="宋体" w:cs="宋体"/>
                <w:color w:val="333333"/>
                <w:sz w:val="24"/>
                <w:szCs w:val="24"/>
              </w:rPr>
              <w:t>—</w:t>
            </w:r>
          </w:p>
        </w:tc>
      </w:tr>
    </w:tbl>
    <w:p w14:paraId="65904399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第十三条  奖励</w:t>
      </w:r>
    </w:p>
    <w:p w14:paraId="043EB24B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每月奖励制度按当月公司公布的标准执行。</w:t>
      </w:r>
    </w:p>
    <w:p w14:paraId="77669E90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第五章  业绩提成与手工费说明</w:t>
      </w:r>
    </w:p>
    <w:p w14:paraId="7098B62A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第十四条  业绩提成</w:t>
      </w:r>
    </w:p>
    <w:p w14:paraId="30725808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 会员开卡即按销售提成 5% 计算：适用于各岗位的开卡销售；</w:t>
      </w:r>
    </w:p>
    <w:p w14:paraId="4D18576D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第十五条  手工费与业绩区分</w:t>
      </w:r>
    </w:p>
    <w:p w14:paraId="5DF4088F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美团、抖音等团单，按手工费计算，无业绩提成；</w:t>
      </w:r>
    </w:p>
    <w:p w14:paraId="07760A6D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会员开卡，即算销售提成 5%；</w:t>
      </w:r>
    </w:p>
    <w:p w14:paraId="085D2974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3. 会员耗卡，按手工费计算。</w:t>
      </w:r>
    </w:p>
    <w:p w14:paraId="23F2A013">
      <w:pPr>
        <w:pStyle w:val="2"/>
        <w:keepNext/>
        <w:keepLines/>
        <w:spacing w:before="360" w:after="200"/>
        <w:rPr>
          <w:rFonts w:hint="default" w:eastAsia="黑体"/>
          <w:lang w:val="en-US" w:eastAsia="zh-CN"/>
        </w:rPr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第六章  加班</w:t>
      </w:r>
      <w:r>
        <w:rPr>
          <w:rFonts w:hint="eastAsia" w:cs="黑体"/>
          <w:b/>
          <w:bCs/>
          <w:color w:val="7A2E1D"/>
          <w:sz w:val="34"/>
          <w:szCs w:val="34"/>
          <w:lang w:val="en-US" w:eastAsia="zh-CN"/>
        </w:rPr>
        <w:t>与休假</w:t>
      </w:r>
    </w:p>
    <w:p w14:paraId="414BACB1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第十六条  加班费标准</w:t>
      </w:r>
    </w:p>
    <w:p w14:paraId="12391D8A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加班费按每 30 分钟 5 元计算；</w:t>
      </w:r>
    </w:p>
    <w:p w14:paraId="55244E49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加班不满 20 分钟的不计算加班费；</w:t>
      </w:r>
    </w:p>
    <w:p w14:paraId="337EB752">
      <w:pPr>
        <w:spacing w:after="160" w:line="380" w:lineRule="auto"/>
        <w:ind w:left="480"/>
        <w:rPr>
          <w:rFonts w:ascii="宋体" w:hAnsi="宋体" w:eastAsia="宋体" w:cs="宋体"/>
          <w:color w:val="333333"/>
          <w:sz w:val="24"/>
          <w:szCs w:val="24"/>
        </w:rPr>
      </w:pPr>
      <w:r>
        <w:rPr>
          <w:rFonts w:ascii="宋体" w:hAnsi="宋体" w:eastAsia="宋体" w:cs="宋体"/>
          <w:color w:val="333333"/>
          <w:sz w:val="24"/>
          <w:szCs w:val="24"/>
        </w:rPr>
        <w:t>3. 学徒首月保底薪资 3000 元不含加班费。</w:t>
      </w:r>
    </w:p>
    <w:p w14:paraId="69B411EE">
      <w:pPr>
        <w:pStyle w:val="3"/>
        <w:keepNext/>
        <w:keepLines/>
        <w:spacing w:before="360" w:after="200"/>
        <w:rPr>
          <w:rFonts w:hint="default" w:eastAsia="黑体"/>
          <w:lang w:val="en-US" w:eastAsia="zh-CN"/>
        </w:rPr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 xml:space="preserve">第十七条  </w:t>
      </w:r>
      <w:r>
        <w:rPr>
          <w:rFonts w:hint="eastAsia" w:cs="黑体"/>
          <w:b/>
          <w:bCs/>
          <w:color w:val="7A2E1D"/>
          <w:sz w:val="28"/>
          <w:szCs w:val="28"/>
          <w:lang w:val="en-US" w:eastAsia="zh-CN"/>
        </w:rPr>
        <w:t>放假安排</w:t>
      </w:r>
    </w:p>
    <w:p w14:paraId="7A394247">
      <w:pPr>
        <w:numPr>
          <w:ilvl w:val="0"/>
          <w:numId w:val="1"/>
        </w:numPr>
        <w:spacing w:after="160" w:line="380" w:lineRule="auto"/>
        <w:ind w:left="905" w:leftChars="0" w:hanging="425" w:firstLineChars="0"/>
        <w:rPr>
          <w:rFonts w:hint="eastAsia" w:cs="宋体"/>
          <w:color w:val="333333"/>
          <w:sz w:val="24"/>
          <w:szCs w:val="24"/>
          <w:lang w:val="en-US" w:eastAsia="zh-CN"/>
        </w:rPr>
      </w:pPr>
      <w:r>
        <w:rPr>
          <w:rFonts w:hint="eastAsia" w:cs="宋体"/>
          <w:color w:val="333333"/>
          <w:sz w:val="24"/>
          <w:szCs w:val="24"/>
          <w:lang w:val="en-US" w:eastAsia="zh-CN"/>
        </w:rPr>
        <w:t>月休4天，不休周末和节假日当天。至少提前两天通知店长排班休息。</w:t>
      </w:r>
    </w:p>
    <w:p w14:paraId="3E108618">
      <w:pPr>
        <w:numPr>
          <w:ilvl w:val="0"/>
          <w:numId w:val="1"/>
        </w:numPr>
        <w:spacing w:after="160" w:line="380" w:lineRule="auto"/>
        <w:ind w:left="905" w:leftChars="0" w:hanging="425" w:firstLineChars="0"/>
        <w:rPr>
          <w:rFonts w:hint="eastAsia" w:cs="宋体"/>
          <w:color w:val="333333"/>
          <w:sz w:val="24"/>
          <w:szCs w:val="24"/>
          <w:lang w:val="en-US" w:eastAsia="zh-CN"/>
        </w:rPr>
      </w:pPr>
      <w:r>
        <w:rPr>
          <w:rFonts w:hint="eastAsia" w:cs="宋体"/>
          <w:color w:val="333333"/>
          <w:sz w:val="24"/>
          <w:szCs w:val="24"/>
          <w:lang w:val="en-US" w:eastAsia="zh-CN"/>
        </w:rPr>
        <w:t>元旦、五一、十一、中秋、端午，各补休一天。</w:t>
      </w:r>
    </w:p>
    <w:p w14:paraId="2B1AE6C6">
      <w:pPr>
        <w:numPr>
          <w:ilvl w:val="0"/>
          <w:numId w:val="1"/>
        </w:numPr>
        <w:spacing w:after="160" w:line="380" w:lineRule="auto"/>
        <w:ind w:left="905" w:leftChars="0" w:hanging="425" w:firstLineChars="0"/>
        <w:rPr>
          <w:rFonts w:hint="eastAsia" w:cs="宋体"/>
          <w:color w:val="333333"/>
          <w:sz w:val="24"/>
          <w:szCs w:val="24"/>
          <w:lang w:val="en-US" w:eastAsia="zh-CN"/>
        </w:rPr>
      </w:pPr>
      <w:r>
        <w:rPr>
          <w:rFonts w:hint="eastAsia" w:cs="宋体"/>
          <w:color w:val="333333"/>
          <w:sz w:val="24"/>
          <w:szCs w:val="24"/>
          <w:lang w:val="en-US" w:eastAsia="zh-CN"/>
        </w:rPr>
        <w:t>春节带薪休假5天。实际情况中春节放假可能大于5天，超出部分属于无薪休假。</w:t>
      </w:r>
    </w:p>
    <w:p w14:paraId="3A562C62">
      <w:pPr>
        <w:numPr>
          <w:ilvl w:val="0"/>
          <w:numId w:val="1"/>
        </w:numPr>
        <w:spacing w:after="160" w:line="380" w:lineRule="auto"/>
        <w:ind w:left="905" w:leftChars="0" w:hanging="425" w:firstLineChars="0"/>
        <w:rPr>
          <w:rFonts w:hint="eastAsia" w:cs="宋体"/>
          <w:color w:val="333333"/>
          <w:sz w:val="24"/>
          <w:szCs w:val="24"/>
          <w:lang w:val="en-US" w:eastAsia="zh-CN"/>
        </w:rPr>
      </w:pPr>
      <w:r>
        <w:rPr>
          <w:rFonts w:hint="eastAsia" w:cs="宋体"/>
          <w:color w:val="333333"/>
          <w:sz w:val="24"/>
          <w:szCs w:val="24"/>
          <w:lang w:val="en-US" w:eastAsia="zh-CN"/>
        </w:rPr>
        <w:t>平日休假未休息的，按日底薪补贴上班薪资。</w:t>
      </w:r>
    </w:p>
    <w:p w14:paraId="26B78614">
      <w:pPr>
        <w:spacing w:after="160" w:line="380" w:lineRule="auto"/>
        <w:ind w:left="480"/>
        <w:rPr>
          <w:rFonts w:hint="default" w:cs="宋体"/>
          <w:color w:val="333333"/>
          <w:sz w:val="24"/>
          <w:szCs w:val="24"/>
          <w:lang w:val="en-US" w:eastAsia="zh-CN"/>
        </w:rPr>
      </w:pPr>
    </w:p>
    <w:p w14:paraId="6CA9800C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第七章  离职与工资结算</w:t>
      </w:r>
    </w:p>
    <w:p w14:paraId="34B77B61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</w:t>
      </w:r>
      <w:r>
        <w:rPr>
          <w:rFonts w:hint="eastAsia" w:cs="黑体"/>
          <w:b/>
          <w:bCs/>
          <w:color w:val="7A2E1D"/>
          <w:sz w:val="28"/>
          <w:szCs w:val="28"/>
          <w:lang w:val="en-US" w:eastAsia="zh-CN"/>
        </w:rPr>
        <w:t>八</w:t>
      </w: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条  试用期员工离职</w:t>
      </w:r>
    </w:p>
    <w:p w14:paraId="18C1A8AF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试用期员工自离，须提前 7 天向店长通知；</w:t>
      </w:r>
    </w:p>
    <w:p w14:paraId="71B76232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试用期员工自离，按底薪 + 手工费结算工资，正常计算业绩提成；</w:t>
      </w:r>
    </w:p>
    <w:p w14:paraId="45ACB14E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3. 试用期内公司劝退（退离），须提前 7 天向员工通知。</w:t>
      </w:r>
    </w:p>
    <w:p w14:paraId="769CBB6D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第十</w:t>
      </w:r>
      <w:r>
        <w:rPr>
          <w:rFonts w:hint="eastAsia" w:cs="黑体"/>
          <w:b/>
          <w:bCs/>
          <w:color w:val="7A2E1D"/>
          <w:sz w:val="28"/>
          <w:szCs w:val="28"/>
          <w:lang w:val="en-US" w:eastAsia="zh-CN"/>
        </w:rPr>
        <w:t>九</w:t>
      </w: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条  正式员工离职</w:t>
      </w:r>
    </w:p>
    <w:p w14:paraId="3D8CCBC1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1. 正式员工自离，须提前 30 天向店长申请，经同意并签署离职协议后，30 天后可离职；</w:t>
      </w:r>
    </w:p>
    <w:p w14:paraId="5DC8826D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2. 未提前申请而自行离职的，将扣除半个月工资；</w:t>
      </w:r>
    </w:p>
    <w:p w14:paraId="74045564">
      <w:pPr>
        <w:spacing w:after="160" w:line="380" w:lineRule="auto"/>
        <w:ind w:left="480"/>
      </w:pPr>
      <w:r>
        <w:rPr>
          <w:rFonts w:ascii="宋体" w:hAnsi="宋体" w:eastAsia="宋体" w:cs="宋体"/>
          <w:color w:val="333333"/>
          <w:sz w:val="24"/>
          <w:szCs w:val="24"/>
        </w:rPr>
        <w:t>3. 正式员工因工作失误、违纪违规、不服从公司安排，或不能胜任本职工作，或其他不可抗原因等，公司予以劝退（退离）的，公司提前一个月通知员工。</w:t>
      </w:r>
    </w:p>
    <w:p w14:paraId="7B8DB4A2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第</w:t>
      </w:r>
      <w:r>
        <w:rPr>
          <w:rFonts w:hint="eastAsia" w:cs="黑体"/>
          <w:b/>
          <w:bCs/>
          <w:color w:val="7A2E1D"/>
          <w:sz w:val="28"/>
          <w:szCs w:val="28"/>
          <w:lang w:val="en-US" w:eastAsia="zh-CN"/>
        </w:rPr>
        <w:t>二十</w:t>
      </w:r>
      <w:r>
        <w:rPr>
          <w:rFonts w:ascii="黑体" w:hAnsi="黑体" w:eastAsia="黑体" w:cs="黑体"/>
          <w:b/>
          <w:bCs/>
          <w:color w:val="7A2E1D"/>
          <w:sz w:val="28"/>
          <w:szCs w:val="28"/>
        </w:rPr>
        <w:t>条  离职交接</w:t>
      </w:r>
    </w:p>
    <w:p w14:paraId="657128DA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离职申请或通知后，至具体离职时间，可视情况协商确定，原则上以不影响公司店面正常运营为前提。</w:t>
      </w:r>
    </w:p>
    <w:p w14:paraId="72C48D1C">
      <w:pPr>
        <w:pStyle w:val="2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7A2E1D"/>
          <w:sz w:val="34"/>
          <w:szCs w:val="34"/>
        </w:rPr>
        <w:t>第八章  附则</w:t>
      </w:r>
    </w:p>
    <w:p w14:paraId="4EBB4610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第二十条  本制度由公司负责解释，自发布之日起施行。</w:t>
      </w:r>
    </w:p>
    <w:p w14:paraId="1A742E21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第二十一条  本制度未尽事宜，按国家有关法律法规及公司相关规定执行；如与国家法律法规相抵触的，以国家法律法规为准。</w:t>
      </w:r>
    </w:p>
    <w:p w14:paraId="448D0B63">
      <w:pPr>
        <w:spacing w:after="160" w:line="380" w:lineRule="auto"/>
        <w:ind w:firstLine="480"/>
      </w:pPr>
      <w:r>
        <w:rPr>
          <w:rFonts w:ascii="宋体" w:hAnsi="宋体" w:eastAsia="宋体" w:cs="宋体"/>
          <w:color w:val="333333"/>
          <w:sz w:val="24"/>
          <w:szCs w:val="24"/>
        </w:rPr>
        <w:t>第二十二条  本制度可根据公司经营发展需要适时修订，修订后版本自发布之日起生效。</w:t>
      </w:r>
    </w:p>
    <w:p w14:paraId="76D1C642">
      <w:pPr>
        <w:spacing w:before="500" w:line="20" w:lineRule="exact"/>
      </w:pPr>
    </w:p>
    <w:p w14:paraId="4200F7F9">
      <w:pPr>
        <w:pBdr>
          <w:bottom w:val="single" w:color="7A2E1D" w:sz="6" w:space="0"/>
        </w:pBdr>
        <w:spacing w:after="200"/>
      </w:pPr>
    </w:p>
    <w:p w14:paraId="6ACC7EBC">
      <w:pPr>
        <w:spacing w:before="300" w:line="20" w:lineRule="exact"/>
      </w:pPr>
    </w:p>
    <w:p w14:paraId="2FED1642">
      <w:pPr>
        <w:spacing w:after="160" w:line="380" w:lineRule="auto"/>
        <w:ind w:left="0"/>
      </w:pPr>
      <w:r>
        <w:rPr>
          <w:rFonts w:ascii="宋体" w:hAnsi="宋体" w:eastAsia="宋体" w:cs="宋体"/>
          <w:color w:val="333333"/>
          <w:sz w:val="24"/>
          <w:szCs w:val="24"/>
        </w:rPr>
        <w:t>员工确认：本人已阅读并充分理解本薪资制度全部内容，同意遵守相关规定。</w:t>
      </w:r>
    </w:p>
    <w:p w14:paraId="668DDFAC">
      <w:pPr>
        <w:spacing w:before="400" w:line="20" w:lineRule="exact"/>
      </w:pPr>
    </w:p>
    <w:p w14:paraId="307019C9">
      <w:pPr>
        <w:spacing w:after="160" w:line="380" w:lineRule="auto"/>
        <w:ind w:left="0"/>
      </w:pPr>
      <w:r>
        <w:rPr>
          <w:rFonts w:ascii="宋体" w:hAnsi="宋体" w:eastAsia="宋体" w:cs="宋体"/>
          <w:color w:val="333333"/>
          <w:sz w:val="24"/>
          <w:szCs w:val="24"/>
        </w:rPr>
        <w:t>员工签字：____________________　　　　日期：______年____月____日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F3E6A">
    <w:pPr>
      <w:spacing w:after="160" w:line="380" w:lineRule="auto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color w:val="999999"/>
        <w:sz w:val="18"/>
        <w:szCs w:val="18"/>
      </w:rPr>
      <w:fldChar w:fldCharType="end"/>
    </w:r>
    <w:r>
      <w:rPr>
        <w:color w:val="999999"/>
        <w:sz w:val="18"/>
        <w:szCs w:val="1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538D0">
    <w:pPr>
      <w:spacing w:after="160" w:line="380" w:lineRule="auto"/>
      <w:jc w:val="center"/>
    </w:pPr>
    <w:r>
      <w:rPr>
        <w:rFonts w:ascii="宋体" w:hAnsi="宋体" w:eastAsia="宋体" w:cs="宋体"/>
        <w:color w:val="999999"/>
        <w:sz w:val="18"/>
        <w:szCs w:val="18"/>
      </w:rPr>
      <w:t>仲曰仙艾员工薪资制度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715787"/>
    <w:multiLevelType w:val="singleLevel"/>
    <w:tmpl w:val="D4715787"/>
    <w:lvl w:ilvl="0" w:tentative="0">
      <w:start w:val="1"/>
      <w:numFmt w:val="decimal"/>
      <w:lvlText w:val="%1."/>
      <w:lvlJc w:val="left"/>
      <w:pPr>
        <w:ind w:left="90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17E6D79"/>
    <w:rsid w:val="02E00236"/>
    <w:rsid w:val="085A6FC3"/>
    <w:rsid w:val="0C085AEC"/>
    <w:rsid w:val="0F803ADB"/>
    <w:rsid w:val="1DC85200"/>
    <w:rsid w:val="37F67BB6"/>
    <w:rsid w:val="4ECC72BB"/>
    <w:rsid w:val="4FB55CD9"/>
    <w:rsid w:val="5D19768E"/>
    <w:rsid w:val="5F323F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color w:val="333333"/>
      <w:sz w:val="24"/>
      <w:szCs w:val="24"/>
    </w:rPr>
  </w:style>
  <w:style w:type="paragraph" w:styleId="2">
    <w:name w:val="heading 1"/>
    <w:next w:val="1"/>
    <w:qFormat/>
    <w:uiPriority w:val="0"/>
    <w:pPr>
      <w:keepNext/>
      <w:keepLines/>
      <w:widowControl/>
      <w:spacing w:before="360" w:after="200"/>
      <w:outlineLvl w:val="0"/>
    </w:pPr>
    <w:rPr>
      <w:rFonts w:ascii="黑体" w:hAnsi="黑体" w:eastAsia="黑体" w:cs="黑体"/>
      <w:b/>
      <w:bCs/>
      <w:color w:val="7A2E1D"/>
      <w:sz w:val="34"/>
      <w:szCs w:val="34"/>
    </w:rPr>
  </w:style>
  <w:style w:type="paragraph" w:styleId="3">
    <w:name w:val="heading 2"/>
    <w:next w:val="1"/>
    <w:qFormat/>
    <w:uiPriority w:val="0"/>
    <w:pPr>
      <w:keepNext/>
      <w:keepLines/>
      <w:widowControl/>
      <w:spacing w:before="360" w:after="200"/>
      <w:outlineLvl w:val="1"/>
    </w:pPr>
    <w:rPr>
      <w:rFonts w:ascii="黑体" w:hAnsi="黑体" w:eastAsia="黑体" w:cs="黑体"/>
      <w:b/>
      <w:bCs/>
      <w:color w:val="7A2E1D"/>
      <w:sz w:val="28"/>
      <w:szCs w:val="28"/>
    </w:rPr>
  </w:style>
  <w:style w:type="paragraph" w:styleId="4">
    <w:name w:val="heading 3"/>
    <w:next w:val="1"/>
    <w:qFormat/>
    <w:uiPriority w:val="0"/>
    <w:pPr>
      <w:keepNext/>
      <w:keepLines/>
      <w:widowControl/>
      <w:spacing w:before="360" w:after="200"/>
      <w:outlineLvl w:val="2"/>
    </w:pPr>
    <w:rPr>
      <w:rFonts w:ascii="黑体" w:hAnsi="黑体" w:eastAsia="黑体" w:cs="黑体"/>
      <w:b/>
      <w:bCs/>
      <w:color w:val="7A2E1D"/>
      <w:sz w:val="26"/>
      <w:szCs w:val="26"/>
    </w:rPr>
  </w:style>
  <w:style w:type="paragraph" w:styleId="5">
    <w:name w:val="heading 4"/>
    <w:next w:val="1"/>
    <w:qFormat/>
    <w:uiPriority w:val="0"/>
    <w:pPr>
      <w:widowControl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widowControl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widowControl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widowControl/>
      <w:spacing w:after="0" w:line="240" w:lineRule="auto"/>
    </w:pPr>
    <w:rPr>
      <w:rFonts w:ascii="宋体" w:hAnsi="宋体" w:eastAsia="宋体" w:cs="宋体"/>
      <w:color w:val="333333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widowControl/>
      <w:spacing w:after="0" w:line="240" w:lineRule="auto"/>
    </w:pPr>
    <w:rPr>
      <w:rFonts w:ascii="宋体" w:hAnsi="宋体" w:eastAsia="宋体" w:cs="宋体"/>
      <w:color w:val="333333"/>
      <w:sz w:val="20"/>
      <w:szCs w:val="20"/>
    </w:rPr>
  </w:style>
  <w:style w:type="paragraph" w:styleId="10">
    <w:name w:val="Title"/>
    <w:qFormat/>
    <w:uiPriority w:val="0"/>
    <w:pPr>
      <w:widowControl/>
    </w:pPr>
    <w:rPr>
      <w:rFonts w:ascii="宋体" w:hAnsi="宋体" w:eastAsia="宋体" w:cs="宋体"/>
      <w:color w:val="333333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pPr>
      <w:widowControl/>
    </w:pPr>
    <w:rPr>
      <w:rFonts w:ascii="宋体" w:hAnsi="宋体" w:eastAsia="宋体" w:cs="宋体"/>
      <w:color w:val="333333"/>
      <w:sz w:val="24"/>
      <w:szCs w:val="24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1766</Words>
  <Characters>1902</Characters>
  <TotalTime>8</TotalTime>
  <ScaleCrop>false</ScaleCrop>
  <LinksUpToDate>false</LinksUpToDate>
  <CharactersWithSpaces>2088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2026-08-07T05:41:00Z</dcterms:created>
  <dc:creator>Un-named</dc:creator>
  <cp:lastModifiedBy>国医仲景 尹老师</cp:lastModifiedBy>
  <dcterms:modified xsi:type="dcterms:W3CDTF">2026-09-05T05:56:47Z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eyJoZGlkIjoiODQzOGY5NGU0YmNmM2Q0OTBkMmYwODBiY2IwNDYxYzgiLCJ1c2VySWQiOiI1MzU2NTcwNDYifQ==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14D838AA4BA8407DB2C3F9DC75D9E183_12</vt:lpwstr>
  </property>
</Properties>
</file>